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020D012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4E6E40">
        <w:rPr>
          <w:rFonts w:eastAsia="Times New Roman" w:cs="Arial"/>
          <w:b/>
          <w:sz w:val="28"/>
          <w:szCs w:val="28"/>
        </w:rPr>
        <w:t>Preesall Town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4E6E40" w:rsidRPr="00D06620" w14:paraId="71AFFCED" w14:textId="77777777" w:rsidTr="004E6E40">
        <w:tc>
          <w:tcPr>
            <w:tcW w:w="8926" w:type="dxa"/>
          </w:tcPr>
          <w:p w14:paraId="26F0F326" w14:textId="77777777" w:rsidR="004E6E40" w:rsidRPr="00D06620" w:rsidRDefault="004E6E40"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E6E40" w:rsidRPr="00D06620" w14:paraId="103019AE" w14:textId="77777777" w:rsidTr="004E6E40">
        <w:tc>
          <w:tcPr>
            <w:tcW w:w="8926" w:type="dxa"/>
          </w:tcPr>
          <w:p w14:paraId="078702AB" w14:textId="77777777" w:rsidR="004E6E40" w:rsidRPr="00D06620" w:rsidRDefault="004E6E40"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4E6E40" w:rsidRPr="00D06620" w:rsidRDefault="004E6E40"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025D0C8" w:rsidR="004E6E40" w:rsidRPr="00D06620" w:rsidRDefault="004E6E40"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__12</w:t>
            </w:r>
            <w:r w:rsidRPr="004E6E40">
              <w:rPr>
                <w:rFonts w:eastAsia="Times New Roman" w:cs="Arial"/>
                <w:b/>
                <w:sz w:val="18"/>
                <w:szCs w:val="18"/>
                <w:vertAlign w:val="superscript"/>
              </w:rPr>
              <w:t>th</w:t>
            </w:r>
            <w:r>
              <w:rPr>
                <w:rFonts w:eastAsia="Times New Roman" w:cs="Arial"/>
                <w:b/>
                <w:sz w:val="18"/>
                <w:szCs w:val="18"/>
              </w:rPr>
              <w:t xml:space="preserve"> June 2024_____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4E6E40" w:rsidRDefault="004E6E40"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0F9C8DB8" w:rsidR="004E6E40" w:rsidRPr="00D06620" w:rsidRDefault="004E6E40"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34A1DEB0" w14:textId="77777777" w:rsidR="004E6E40" w:rsidRPr="00D06620" w:rsidRDefault="004E6E40"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9C776B6" w:rsidR="004E6E40" w:rsidRPr="00D06620" w:rsidRDefault="004E6E4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Pr>
                <w:rFonts w:eastAsia="Times New Roman" w:cs="Arial"/>
                <w:sz w:val="18"/>
                <w:szCs w:val="18"/>
              </w:rPr>
              <w:t>Yvonne Walton Locum Clerk/RFO</w:t>
            </w:r>
            <w:r w:rsidRPr="00D06620">
              <w:rPr>
                <w:rFonts w:eastAsia="Times New Roman" w:cs="Arial"/>
                <w:sz w:val="18"/>
                <w:szCs w:val="18"/>
              </w:rPr>
              <w:t>__________________________</w:t>
            </w:r>
          </w:p>
          <w:p w14:paraId="3F7C16DF" w14:textId="15B287D9" w:rsidR="004E6E40" w:rsidRPr="00D06620" w:rsidRDefault="004E6E4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w:t>
            </w:r>
            <w:r>
              <w:rPr>
                <w:rFonts w:eastAsia="Times New Roman" w:cs="Arial"/>
                <w:sz w:val="18"/>
                <w:szCs w:val="18"/>
              </w:rPr>
              <w:t>Clerk@preesalltowncouncil.org</w:t>
            </w:r>
            <w:r w:rsidRPr="00D06620">
              <w:rPr>
                <w:rFonts w:eastAsia="Times New Roman" w:cs="Arial"/>
                <w:sz w:val="18"/>
                <w:szCs w:val="18"/>
              </w:rPr>
              <w:t>___________________________</w:t>
            </w:r>
          </w:p>
          <w:p w14:paraId="16864A92" w14:textId="4720D418" w:rsidR="004E6E40" w:rsidRPr="00D06620" w:rsidRDefault="004E6E4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w:t>
            </w:r>
            <w:r>
              <w:rPr>
                <w:rFonts w:eastAsia="Times New Roman" w:cs="Arial"/>
                <w:sz w:val="18"/>
                <w:szCs w:val="18"/>
              </w:rPr>
              <w:t>Tel 07739 868212</w:t>
            </w:r>
            <w:r w:rsidRPr="00D06620">
              <w:rPr>
                <w:rFonts w:eastAsia="Times New Roman" w:cs="Arial"/>
                <w:sz w:val="18"/>
                <w:szCs w:val="18"/>
              </w:rPr>
              <w:t>___________________________________</w:t>
            </w:r>
          </w:p>
          <w:p w14:paraId="38E7898C" w14:textId="77777777" w:rsidR="004E6E40" w:rsidRPr="00D06620" w:rsidRDefault="004E6E4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CF87DCF" w:rsidR="004E6E40" w:rsidRPr="00D06620" w:rsidRDefault="004E6E4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Monday 17th 2024</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4E6E40" w:rsidRPr="00D06620" w:rsidRDefault="004E6E40"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4E6E40" w:rsidRPr="00D06620" w:rsidRDefault="004E6E40"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67E3982" w:rsidR="004E6E40" w:rsidRPr="00D06620" w:rsidRDefault="004E6E4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26</w:t>
            </w:r>
            <w:r w:rsidRPr="004E6E40">
              <w:rPr>
                <w:rFonts w:eastAsia="Times New Roman" w:cs="Arial"/>
                <w:b/>
                <w:sz w:val="18"/>
                <w:szCs w:val="18"/>
                <w:vertAlign w:val="superscript"/>
              </w:rPr>
              <w:t>th</w:t>
            </w:r>
            <w:r>
              <w:rPr>
                <w:rFonts w:eastAsia="Times New Roman" w:cs="Arial"/>
                <w:b/>
                <w:sz w:val="18"/>
                <w:szCs w:val="18"/>
              </w:rPr>
              <w:t xml:space="preserve"> Jul</w:t>
            </w:r>
            <w:r w:rsidRPr="00C551EB">
              <w:rPr>
                <w:rFonts w:eastAsia="Times New Roman" w:cs="Arial"/>
                <w:b/>
                <w:sz w:val="18"/>
                <w:szCs w:val="18"/>
              </w:rPr>
              <w:t>y 20</w:t>
            </w:r>
            <w:r>
              <w:rPr>
                <w:rFonts w:eastAsia="Times New Roman" w:cs="Arial"/>
                <w:b/>
                <w:sz w:val="18"/>
                <w:szCs w:val="18"/>
              </w:rPr>
              <w:t>24</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4E6E40" w:rsidRPr="00D06620" w:rsidRDefault="004E6E4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4E6E40" w:rsidRPr="00D06620" w:rsidRDefault="004E6E40"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4E6E40" w:rsidRPr="00D06620" w:rsidRDefault="004E6E40"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4E6E40" w:rsidRPr="00D06620" w:rsidRDefault="004E6E40"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4E6E40" w:rsidRPr="00D06620" w:rsidRDefault="004E6E40"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4E6E40" w:rsidRPr="00D06620" w:rsidRDefault="004E6E40"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4E6E40" w:rsidRPr="00D06620" w:rsidRDefault="004E6E4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4E6E40" w:rsidRPr="00D06620" w:rsidRDefault="004E6E4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4E6E40" w:rsidRPr="00D06620" w:rsidRDefault="004E6E40"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4E6E40" w:rsidRPr="00D06620" w:rsidRDefault="004E6E4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4E6E40" w:rsidRPr="00D06620" w:rsidRDefault="004E6E40"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4E6E40" w:rsidRPr="00D06620" w:rsidRDefault="004E6E4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4E6E40" w:rsidRPr="00D06620" w:rsidRDefault="004E6E4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4E6E40" w:rsidRPr="00AF05D5" w:rsidRDefault="004E6E4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4E6E40" w:rsidRDefault="004E6E4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4E6E40" w:rsidRPr="00AF05D5" w:rsidRDefault="004E6E4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66905A0" w:rsidR="004E6E40" w:rsidRPr="00D06620" w:rsidRDefault="004E6E40"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Pr>
                <w:rFonts w:eastAsia="Times New Roman" w:cs="Arial"/>
                <w:b/>
                <w:sz w:val="18"/>
                <w:szCs w:val="18"/>
              </w:rPr>
              <w:t>Yvonne Walton (Locum Clerk/</w:t>
            </w:r>
            <w:proofErr w:type="gramStart"/>
            <w:r>
              <w:rPr>
                <w:rFonts w:eastAsia="Times New Roman" w:cs="Arial"/>
                <w:b/>
                <w:sz w:val="18"/>
                <w:szCs w:val="18"/>
              </w:rPr>
              <w:t>RFO)</w:t>
            </w:r>
            <w:r w:rsidRPr="00D06620">
              <w:rPr>
                <w:rFonts w:eastAsia="Times New Roman" w:cs="Arial"/>
                <w:b/>
                <w:sz w:val="18"/>
                <w:szCs w:val="18"/>
              </w:rPr>
              <w:t>_</w:t>
            </w:r>
            <w:proofErr w:type="gramEnd"/>
          </w:p>
          <w:p w14:paraId="74144341" w14:textId="77777777" w:rsidR="004E6E40" w:rsidRPr="00D06620" w:rsidRDefault="004E6E40"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56E16CDF" w14:textId="77777777" w:rsidR="004E6E40" w:rsidRDefault="004E6E40"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4F86CE4" w14:textId="77777777" w:rsidR="004E6E40" w:rsidRDefault="004E6E40"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63A24B15" w14:textId="77777777" w:rsidR="004E6E40" w:rsidRDefault="004E6E40"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19761F7A"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3946F1"/>
    <w:rsid w:val="003D2B77"/>
    <w:rsid w:val="003F371A"/>
    <w:rsid w:val="00414553"/>
    <w:rsid w:val="004E6E40"/>
    <w:rsid w:val="004E74B5"/>
    <w:rsid w:val="00500F4D"/>
    <w:rsid w:val="0050557D"/>
    <w:rsid w:val="005A520D"/>
    <w:rsid w:val="006074C4"/>
    <w:rsid w:val="006D6735"/>
    <w:rsid w:val="006F2BF0"/>
    <w:rsid w:val="00745FCF"/>
    <w:rsid w:val="007B431A"/>
    <w:rsid w:val="00805A33"/>
    <w:rsid w:val="00815FCF"/>
    <w:rsid w:val="00874EFA"/>
    <w:rsid w:val="00917CA8"/>
    <w:rsid w:val="00921065"/>
    <w:rsid w:val="00A47DC5"/>
    <w:rsid w:val="00B53912"/>
    <w:rsid w:val="00BF3571"/>
    <w:rsid w:val="00C0004C"/>
    <w:rsid w:val="00C24E66"/>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Alison May</cp:lastModifiedBy>
  <cp:revision>2</cp:revision>
  <dcterms:created xsi:type="dcterms:W3CDTF">2024-06-12T11:46:00Z</dcterms:created>
  <dcterms:modified xsi:type="dcterms:W3CDTF">2024-06-12T11:46:00Z</dcterms:modified>
</cp:coreProperties>
</file>